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62D" w:rsidRPr="00A61D6D" w:rsidRDefault="00F304CC" w:rsidP="00A61D6D">
      <w:pPr>
        <w:numPr>
          <w:ilvl w:val="2"/>
          <w:numId w:val="5"/>
        </w:numPr>
        <w:spacing w:after="120"/>
        <w:jc w:val="both"/>
        <w:rPr>
          <w:rFonts w:ascii="Calibri" w:eastAsia="Calibri" w:hAnsi="Calibri"/>
          <w:b/>
          <w:bCs/>
          <w:color w:val="0080C1"/>
          <w:sz w:val="36"/>
          <w:szCs w:val="36"/>
        </w:rPr>
      </w:pPr>
      <w:r>
        <w:rPr>
          <w:rFonts w:ascii="Calibri" w:eastAsia="Calibri" w:hAnsi="Calibri"/>
          <w:b/>
          <w:bCs/>
          <w:color w:val="0080C1"/>
          <w:sz w:val="36"/>
          <w:szCs w:val="36"/>
        </w:rPr>
        <w:t>I</w:t>
      </w:r>
      <w:r w:rsidR="00A61D6D" w:rsidRPr="00A61D6D">
        <w:rPr>
          <w:rFonts w:ascii="Calibri" w:eastAsia="Calibri" w:hAnsi="Calibri"/>
          <w:b/>
          <w:bCs/>
          <w:color w:val="0080C1"/>
          <w:sz w:val="36"/>
          <w:szCs w:val="36"/>
        </w:rPr>
        <w:t>mposició de la servitud d’accés sobre els terrenys que formen la franja perimetral de 25 metres</w:t>
      </w:r>
    </w:p>
    <w:p w:rsidR="00E6162D" w:rsidRDefault="00E6162D" w:rsidP="00E90374">
      <w:pPr>
        <w:pStyle w:val="Aclariment"/>
        <w:pBdr>
          <w:top w:val="none" w:sz="0" w:space="0" w:color="auto"/>
          <w:left w:val="none" w:sz="0" w:space="0" w:color="auto"/>
          <w:bottom w:val="none" w:sz="0" w:space="0" w:color="auto"/>
          <w:right w:val="none" w:sz="0" w:space="0" w:color="auto"/>
        </w:pBdr>
        <w:shd w:val="clear" w:color="FFFFFF" w:fill="auto"/>
        <w:ind w:left="0" w:right="70"/>
        <w:rPr>
          <w:rFonts w:ascii="Calibri" w:hAnsi="Calibri" w:cs="Calibri"/>
          <w:sz w:val="24"/>
          <w:szCs w:val="24"/>
          <w:lang w:val="ca-ES"/>
        </w:rPr>
      </w:pPr>
    </w:p>
    <w:p w:rsidR="00E6162D" w:rsidRPr="00F05C0E" w:rsidRDefault="00E6162D" w:rsidP="00E90374">
      <w:pPr>
        <w:pStyle w:val="Aclariment"/>
        <w:pBdr>
          <w:top w:val="none" w:sz="0" w:space="0" w:color="auto"/>
          <w:left w:val="none" w:sz="0" w:space="0" w:color="auto"/>
          <w:bottom w:val="none" w:sz="0" w:space="0" w:color="auto"/>
          <w:right w:val="none" w:sz="0" w:space="0" w:color="auto"/>
        </w:pBdr>
        <w:shd w:val="clear" w:color="FFFFFF" w:fill="auto"/>
        <w:ind w:left="0" w:right="70"/>
        <w:rPr>
          <w:rFonts w:ascii="Calibri" w:hAnsi="Calibri" w:cs="Calibri"/>
          <w:sz w:val="24"/>
          <w:szCs w:val="24"/>
          <w:lang w:val="ca-ES"/>
        </w:rPr>
      </w:pPr>
      <w:r w:rsidRPr="00F05C0E">
        <w:rPr>
          <w:rFonts w:ascii="Calibri" w:hAnsi="Calibri" w:cs="Calibri"/>
          <w:sz w:val="24"/>
          <w:szCs w:val="24"/>
          <w:lang w:val="ca-ES"/>
        </w:rPr>
        <w:t>La servitud de pas i dret d’accés prevista a l’article 6 de la Llei 5/2003 es tracta d’un gravamen imposat sobre els terrenys inclosos en la franja de protecció que no pertanyen a la urbanització</w:t>
      </w:r>
      <w:r w:rsidR="00143F19">
        <w:rPr>
          <w:rFonts w:ascii="Calibri" w:hAnsi="Calibri" w:cs="Calibri"/>
          <w:sz w:val="24"/>
          <w:szCs w:val="24"/>
          <w:lang w:val="ca-ES"/>
        </w:rPr>
        <w:t xml:space="preserve"> o nucli de població</w:t>
      </w:r>
      <w:bookmarkStart w:id="0" w:name="_GoBack"/>
      <w:bookmarkEnd w:id="0"/>
      <w:r w:rsidRPr="00F05C0E">
        <w:rPr>
          <w:rFonts w:ascii="Calibri" w:hAnsi="Calibri" w:cs="Calibri"/>
          <w:sz w:val="24"/>
          <w:szCs w:val="24"/>
          <w:lang w:val="ca-ES"/>
        </w:rPr>
        <w:t xml:space="preserve">, per tal d’accedir-hi i fer els treballs de tractament de vegetació necessaris. </w:t>
      </w:r>
    </w:p>
    <w:p w:rsidR="00E6162D" w:rsidRDefault="00E6162D" w:rsidP="00E90374">
      <w:pPr>
        <w:pStyle w:val="Aclariment"/>
        <w:pBdr>
          <w:top w:val="none" w:sz="0" w:space="0" w:color="auto"/>
          <w:left w:val="none" w:sz="0" w:space="0" w:color="auto"/>
          <w:bottom w:val="none" w:sz="0" w:space="0" w:color="auto"/>
          <w:right w:val="none" w:sz="0" w:space="0" w:color="auto"/>
        </w:pBdr>
        <w:shd w:val="clear" w:color="FFFFFF" w:fill="auto"/>
        <w:ind w:left="0" w:right="70"/>
        <w:rPr>
          <w:rFonts w:ascii="Calibri" w:hAnsi="Calibri" w:cs="Calibri"/>
          <w:sz w:val="24"/>
          <w:szCs w:val="24"/>
          <w:lang w:val="ca-ES"/>
        </w:rPr>
      </w:pPr>
    </w:p>
    <w:p w:rsidR="00E6162D" w:rsidRPr="00F05C0E" w:rsidRDefault="00E6162D" w:rsidP="00E90374">
      <w:pPr>
        <w:pStyle w:val="Aclariment"/>
        <w:pBdr>
          <w:top w:val="none" w:sz="0" w:space="0" w:color="auto"/>
          <w:left w:val="none" w:sz="0" w:space="0" w:color="auto"/>
          <w:bottom w:val="none" w:sz="0" w:space="0" w:color="auto"/>
          <w:right w:val="none" w:sz="0" w:space="0" w:color="auto"/>
        </w:pBdr>
        <w:shd w:val="clear" w:color="FFFFFF" w:fill="auto"/>
        <w:ind w:left="0" w:right="70"/>
        <w:rPr>
          <w:rFonts w:ascii="Calibri" w:hAnsi="Calibri" w:cs="Calibri"/>
          <w:sz w:val="24"/>
          <w:szCs w:val="24"/>
          <w:lang w:val="ca-ES"/>
        </w:rPr>
      </w:pPr>
      <w:r w:rsidRPr="00F05C0E">
        <w:rPr>
          <w:rFonts w:ascii="Calibri" w:hAnsi="Calibri" w:cs="Calibri"/>
          <w:sz w:val="24"/>
          <w:szCs w:val="24"/>
          <w:lang w:val="ca-ES"/>
        </w:rPr>
        <w:t>Es tracta, doncs, d’un gravamen sobre un immoble (predi servent) per raó d’utilitat pública. La llei preveu que el procediment de la servitud la gestioni en primer terme els primers subjectes obligats, és a dir, l’òrgan de gestió de la urbanització en cas d’existir-ne, o en el seu defecte els propietaris de les parcel·les de la urbanització. En la majoria dels casos, serà l’ajuntament qui gestiona la servitud d’accés un cop el consistori es troba en la fase de tramitació administrativa d’execució subsidiària.</w:t>
      </w:r>
    </w:p>
    <w:p w:rsidR="00E6162D" w:rsidRDefault="00E6162D" w:rsidP="00E90374">
      <w:pPr>
        <w:jc w:val="both"/>
        <w:rPr>
          <w:rFonts w:ascii="Calibri" w:hAnsi="Calibri" w:cs="Calibri"/>
        </w:rPr>
      </w:pPr>
    </w:p>
    <w:p w:rsidR="00E6162D" w:rsidRPr="00F05C0E" w:rsidRDefault="00E6162D" w:rsidP="00E90374">
      <w:pPr>
        <w:jc w:val="both"/>
        <w:rPr>
          <w:rFonts w:ascii="Calibri" w:hAnsi="Calibri" w:cs="Calibri"/>
        </w:rPr>
      </w:pPr>
      <w:r w:rsidRPr="00F05C0E">
        <w:rPr>
          <w:rFonts w:ascii="Calibri" w:hAnsi="Calibri" w:cs="Calibri"/>
        </w:rPr>
        <w:t>La servitud creada per la L</w:t>
      </w:r>
      <w:r w:rsidR="00F304CC">
        <w:rPr>
          <w:rFonts w:ascii="Calibri" w:hAnsi="Calibri" w:cs="Calibri"/>
        </w:rPr>
        <w:t xml:space="preserve">lei </w:t>
      </w:r>
      <w:r w:rsidRPr="00F05C0E">
        <w:rPr>
          <w:rFonts w:ascii="Calibri" w:hAnsi="Calibri" w:cs="Calibri"/>
        </w:rPr>
        <w:t xml:space="preserve">5/2003 planteja primerament el problema de la seva naturalesa: servitud administrativa o servitud civil. Es considera que es tracta d’una </w:t>
      </w:r>
      <w:r w:rsidRPr="00F05C0E">
        <w:rPr>
          <w:rFonts w:ascii="Calibri" w:hAnsi="Calibri" w:cs="Calibri"/>
          <w:b/>
          <w:bCs/>
          <w:u w:val="single"/>
        </w:rPr>
        <w:t>servitud administrativa</w:t>
      </w:r>
      <w:r w:rsidRPr="00F05C0E">
        <w:rPr>
          <w:rFonts w:ascii="Calibri" w:hAnsi="Calibri" w:cs="Calibri"/>
        </w:rPr>
        <w:t xml:space="preserve"> per tal com la finalitat és d’interès general (prevenir els incendis forestals), com també per la naturalesa administrativa de la pròpia L</w:t>
      </w:r>
      <w:r w:rsidR="00F304CC">
        <w:rPr>
          <w:rFonts w:ascii="Calibri" w:hAnsi="Calibri" w:cs="Calibri"/>
        </w:rPr>
        <w:t xml:space="preserve">lei </w:t>
      </w:r>
      <w:r w:rsidRPr="00F05C0E">
        <w:rPr>
          <w:rFonts w:ascii="Calibri" w:hAnsi="Calibri" w:cs="Calibri"/>
        </w:rPr>
        <w:t>5/2003. S’interpreta que no obsta a aquest enfocament la remissió supletòria de la L</w:t>
      </w:r>
      <w:r w:rsidR="00F304CC">
        <w:rPr>
          <w:rFonts w:ascii="Calibri" w:hAnsi="Calibri" w:cs="Calibri"/>
        </w:rPr>
        <w:t xml:space="preserve">lei </w:t>
      </w:r>
      <w:r w:rsidRPr="00F05C0E">
        <w:rPr>
          <w:rFonts w:ascii="Calibri" w:hAnsi="Calibri" w:cs="Calibri"/>
        </w:rPr>
        <w:t>5/2003 a la legislació civil (L</w:t>
      </w:r>
      <w:r w:rsidR="00F304CC">
        <w:rPr>
          <w:rFonts w:ascii="Calibri" w:hAnsi="Calibri" w:cs="Calibri"/>
        </w:rPr>
        <w:t xml:space="preserve">lei </w:t>
      </w:r>
      <w:r w:rsidRPr="00F05C0E">
        <w:rPr>
          <w:rFonts w:ascii="Calibri" w:hAnsi="Calibri" w:cs="Calibri"/>
        </w:rPr>
        <w:t>22/2001)  ja que faria la seva aplicació quasi bé impossible, ja que la L</w:t>
      </w:r>
      <w:r w:rsidR="00F304CC">
        <w:rPr>
          <w:rFonts w:ascii="Calibri" w:hAnsi="Calibri" w:cs="Calibri"/>
        </w:rPr>
        <w:t xml:space="preserve">lei </w:t>
      </w:r>
      <w:r w:rsidRPr="00F05C0E">
        <w:rPr>
          <w:rFonts w:ascii="Calibri" w:hAnsi="Calibri" w:cs="Calibri"/>
        </w:rPr>
        <w:t>22/2001 només reconeix el caràcter real de la servitud (predi dominant-predi servent), el que implica definir quin és el predi dominant per a establir la legitimació activa. A més, la necessitat d’acudir de forma massiva a la jurisdicció ordinària resulta impensable.</w:t>
      </w:r>
    </w:p>
    <w:p w:rsidR="00E6162D" w:rsidRDefault="00E6162D" w:rsidP="00E90374">
      <w:pPr>
        <w:jc w:val="both"/>
        <w:rPr>
          <w:rFonts w:ascii="Calibri" w:hAnsi="Calibri" w:cs="Calibri"/>
          <w:b/>
          <w:bCs/>
        </w:rPr>
      </w:pPr>
    </w:p>
    <w:p w:rsidR="00E6162D" w:rsidRPr="00A61D6D" w:rsidRDefault="00E6162D" w:rsidP="00A61D6D">
      <w:pPr>
        <w:numPr>
          <w:ilvl w:val="3"/>
          <w:numId w:val="5"/>
        </w:numPr>
        <w:spacing w:after="200" w:line="276" w:lineRule="auto"/>
        <w:jc w:val="both"/>
        <w:rPr>
          <w:rFonts w:ascii="Calibri" w:eastAsia="Calibri" w:hAnsi="Calibri"/>
          <w:b/>
          <w:bCs/>
          <w:color w:val="0080C1"/>
          <w:sz w:val="28"/>
          <w:szCs w:val="28"/>
        </w:rPr>
      </w:pPr>
      <w:r w:rsidRPr="00A61D6D">
        <w:rPr>
          <w:rFonts w:ascii="Calibri" w:eastAsia="Calibri" w:hAnsi="Calibri"/>
          <w:b/>
          <w:bCs/>
          <w:color w:val="0080C1"/>
          <w:sz w:val="28"/>
          <w:szCs w:val="28"/>
        </w:rPr>
        <w:t xml:space="preserve">Esquema de procediment de servitud administrativa d’accés a la franja perimetral </w:t>
      </w:r>
    </w:p>
    <w:p w:rsidR="00E6162D" w:rsidRPr="00E90374" w:rsidRDefault="00E6162D" w:rsidP="00E22EFF">
      <w:pPr>
        <w:pStyle w:val="Pargrafdellista"/>
        <w:ind w:left="0"/>
        <w:rPr>
          <w:rFonts w:ascii="Calibri" w:hAnsi="Calibri" w:cs="Calibri"/>
          <w:b/>
          <w:bCs/>
          <w:color w:val="000080"/>
        </w:rPr>
      </w:pPr>
    </w:p>
    <w:p w:rsidR="00E6162D" w:rsidRPr="00F05C0E" w:rsidRDefault="00E6162D" w:rsidP="00E90374">
      <w:pPr>
        <w:jc w:val="both"/>
        <w:rPr>
          <w:rFonts w:ascii="Calibri" w:hAnsi="Calibri" w:cs="Calibri"/>
          <w:b/>
          <w:bCs/>
        </w:rPr>
      </w:pPr>
      <w:r w:rsidRPr="00F05C0E">
        <w:rPr>
          <w:rFonts w:ascii="Calibri" w:hAnsi="Calibri" w:cs="Calibri"/>
        </w:rPr>
        <w:t>Determinada la naturalesa administrativa de la servitud, es proposen les següents opcions de servitud amb la descripció de cadascuna d’elles. Es decisió de l’ajuntament escollir l’opció que més li convingui.</w:t>
      </w:r>
    </w:p>
    <w:p w:rsidR="00E6162D" w:rsidRDefault="00E6162D" w:rsidP="00E90374">
      <w:pPr>
        <w:numPr>
          <w:ilvl w:val="0"/>
          <w:numId w:val="2"/>
        </w:numPr>
        <w:spacing w:before="240"/>
        <w:jc w:val="both"/>
        <w:rPr>
          <w:rFonts w:ascii="Calibri" w:hAnsi="Calibri" w:cs="Calibri"/>
        </w:rPr>
      </w:pPr>
      <w:r w:rsidRPr="00F05C0E">
        <w:rPr>
          <w:rFonts w:ascii="Calibri" w:hAnsi="Calibri" w:cs="Calibri"/>
          <w:i/>
          <w:iCs/>
        </w:rPr>
        <w:t>Autorització simple o Conveni per accedir a la finca</w:t>
      </w:r>
      <w:r w:rsidRPr="00F05C0E">
        <w:rPr>
          <w:rFonts w:ascii="Calibri" w:hAnsi="Calibri" w:cs="Calibri"/>
        </w:rPr>
        <w:t>: És l’opció més senzilla i utilitzada pels ajuntaments. Consisteix en un acte unilateral del propietari que autoritza l’entrada immediata a la seva finca per a poder realitzar els treballs obligats per llei. Aquesta autorització s’ha de repetir per al manteniment de les feines executades. No es constitueix la servitud. Quan es fa en forma de conveni, es poden plasmar millor els compromisos que adquireix l’ajuntament, per tal de garantir la indemnitat del propietari autoritzant.</w:t>
      </w:r>
    </w:p>
    <w:p w:rsidR="0021087A" w:rsidRPr="00F05C0E" w:rsidRDefault="0021087A" w:rsidP="00E90374">
      <w:pPr>
        <w:numPr>
          <w:ilvl w:val="0"/>
          <w:numId w:val="2"/>
        </w:numPr>
        <w:spacing w:before="240"/>
        <w:jc w:val="both"/>
        <w:rPr>
          <w:rFonts w:ascii="Calibri" w:hAnsi="Calibri" w:cs="Calibri"/>
        </w:rPr>
      </w:pPr>
      <w:r>
        <w:rPr>
          <w:rFonts w:ascii="Calibri" w:hAnsi="Calibri" w:cs="Calibri"/>
          <w:i/>
          <w:iCs/>
        </w:rPr>
        <w:t>Edicte de sol·licitud d’entrada a domicili per a l’execució subsidiària</w:t>
      </w:r>
    </w:p>
    <w:p w:rsidR="00E6162D" w:rsidRDefault="00E6162D" w:rsidP="00E22EFF">
      <w:pPr>
        <w:numPr>
          <w:ilvl w:val="0"/>
          <w:numId w:val="2"/>
        </w:numPr>
        <w:spacing w:before="240"/>
        <w:jc w:val="both"/>
        <w:rPr>
          <w:rFonts w:ascii="Calibri" w:hAnsi="Calibri" w:cs="Calibri"/>
        </w:rPr>
      </w:pPr>
      <w:r w:rsidRPr="00F05C0E">
        <w:rPr>
          <w:rFonts w:ascii="Calibri" w:hAnsi="Calibri" w:cs="Calibri"/>
          <w:i/>
          <w:iCs/>
        </w:rPr>
        <w:lastRenderedPageBreak/>
        <w:t>Conveni per a la constitució de servitud de pas</w:t>
      </w:r>
      <w:r w:rsidRPr="00F05C0E">
        <w:rPr>
          <w:rFonts w:ascii="Calibri" w:hAnsi="Calibri" w:cs="Calibri"/>
        </w:rPr>
        <w:t xml:space="preserve">: Vincula  les parts signants, ajuntament i propietari, i comporta l’inici dels treballs de la franja un cop satisfeta la indemnització al propietari. L’altre punt a favor respecte els altres models és la constitució de la servitud de pas amb caràcter permanent, prèvia elevació a públic del conveni. Poden sorgir problemes al moment de la </w:t>
      </w:r>
      <w:r w:rsidR="00A61D6D" w:rsidRPr="00F05C0E">
        <w:rPr>
          <w:rFonts w:ascii="Calibri" w:hAnsi="Calibri" w:cs="Calibri"/>
        </w:rPr>
        <w:t>inscripció</w:t>
      </w:r>
      <w:r w:rsidRPr="00F05C0E">
        <w:rPr>
          <w:rFonts w:ascii="Calibri" w:hAnsi="Calibri" w:cs="Calibri"/>
        </w:rPr>
        <w:t xml:space="preserve"> al registre de la propietat, donat que no és una servitud civil segons el Dret Privat, ni tampoc és una servitud legal, ja que la L</w:t>
      </w:r>
      <w:r w:rsidR="00F304CC">
        <w:rPr>
          <w:rFonts w:ascii="Calibri" w:hAnsi="Calibri" w:cs="Calibri"/>
        </w:rPr>
        <w:t xml:space="preserve">lei </w:t>
      </w:r>
      <w:r w:rsidRPr="00F05C0E">
        <w:rPr>
          <w:rFonts w:ascii="Calibri" w:hAnsi="Calibri" w:cs="Calibri"/>
        </w:rPr>
        <w:t>5/2003 no ho contempla així.</w:t>
      </w:r>
    </w:p>
    <w:p w:rsidR="00E6162D" w:rsidRPr="00E22EFF" w:rsidRDefault="00E6162D" w:rsidP="00E22EFF">
      <w:pPr>
        <w:jc w:val="both"/>
        <w:rPr>
          <w:rFonts w:ascii="Calibri" w:hAnsi="Calibri" w:cs="Calibri"/>
        </w:rPr>
      </w:pPr>
    </w:p>
    <w:p w:rsidR="00E6162D" w:rsidRDefault="00E6162D" w:rsidP="00E90374">
      <w:pPr>
        <w:numPr>
          <w:ilvl w:val="0"/>
          <w:numId w:val="2"/>
        </w:numPr>
        <w:jc w:val="both"/>
        <w:rPr>
          <w:rFonts w:ascii="Calibri" w:hAnsi="Calibri" w:cs="Calibri"/>
        </w:rPr>
      </w:pPr>
      <w:r w:rsidRPr="00F05C0E">
        <w:rPr>
          <w:rFonts w:ascii="Calibri" w:hAnsi="Calibri" w:cs="Calibri"/>
          <w:i/>
          <w:iCs/>
        </w:rPr>
        <w:t>Expropiació forçosa</w:t>
      </w:r>
      <w:r w:rsidRPr="00F05C0E">
        <w:rPr>
          <w:rFonts w:ascii="Calibri" w:hAnsi="Calibri" w:cs="Calibri"/>
        </w:rPr>
        <w:t>: Opció a utilitzar quan no és possible establir un acord amb el propietari o, també, en els casos de conformitat mitjançant conveni expropiatori de mutu acord, com a procediment que permet la imposició efectiva de servitud.</w:t>
      </w:r>
    </w:p>
    <w:p w:rsidR="00E6162D" w:rsidRDefault="00E6162D"/>
    <w:sectPr w:rsidR="00E6162D" w:rsidSect="0021087A">
      <w:headerReference w:type="default" r:id="rId9"/>
      <w:footerReference w:type="default" r:id="rId10"/>
      <w:pgSz w:w="11906" w:h="16838"/>
      <w:pgMar w:top="1701" w:right="1701" w:bottom="1418" w:left="1701" w:header="709" w:footer="55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D6D" w:rsidRDefault="00A61D6D" w:rsidP="00A61D6D">
      <w:r>
        <w:separator/>
      </w:r>
    </w:p>
  </w:endnote>
  <w:endnote w:type="continuationSeparator" w:id="0">
    <w:p w:rsidR="00A61D6D" w:rsidRDefault="00A61D6D" w:rsidP="00A61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4CC" w:rsidRPr="00F304CC" w:rsidRDefault="00143F19">
    <w:pPr>
      <w:pStyle w:val="Peu"/>
      <w:jc w:val="right"/>
      <w:rPr>
        <w:rFonts w:ascii="Calibri" w:hAnsi="Calibri"/>
        <w:sz w:val="22"/>
      </w:rPr>
    </w:pPr>
    <w:r>
      <w:rPr>
        <w:noProof/>
        <w:lang w:eastAsia="ca-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tge 2" o:spid="_x0000_s2049" type="#_x0000_t75" style="position:absolute;left:0;text-align:left;margin-left:-.75pt;margin-top:-6.6pt;width:96pt;height:30.55pt;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1" o:title=""/>
          <w10:wrap type="square"/>
        </v:shape>
      </w:pict>
    </w:r>
    <w:r w:rsidR="00F304CC" w:rsidRPr="00F304CC">
      <w:rPr>
        <w:rFonts w:ascii="Calibri" w:hAnsi="Calibri"/>
        <w:sz w:val="22"/>
      </w:rPr>
      <w:fldChar w:fldCharType="begin"/>
    </w:r>
    <w:r w:rsidR="00F304CC" w:rsidRPr="00F304CC">
      <w:rPr>
        <w:rFonts w:ascii="Calibri" w:hAnsi="Calibri"/>
        <w:sz w:val="22"/>
      </w:rPr>
      <w:instrText>PAGE   \* MERGEFORMAT</w:instrText>
    </w:r>
    <w:r w:rsidR="00F304CC" w:rsidRPr="00F304CC">
      <w:rPr>
        <w:rFonts w:ascii="Calibri" w:hAnsi="Calibri"/>
        <w:sz w:val="22"/>
      </w:rPr>
      <w:fldChar w:fldCharType="separate"/>
    </w:r>
    <w:r>
      <w:rPr>
        <w:rFonts w:ascii="Calibri" w:hAnsi="Calibri"/>
        <w:noProof/>
        <w:sz w:val="22"/>
      </w:rPr>
      <w:t>1</w:t>
    </w:r>
    <w:r w:rsidR="00F304CC" w:rsidRPr="00F304CC">
      <w:rPr>
        <w:rFonts w:ascii="Calibri" w:hAnsi="Calibri"/>
        <w:sz w:val="22"/>
      </w:rPr>
      <w:fldChar w:fldCharType="end"/>
    </w:r>
  </w:p>
  <w:p w:rsidR="00A61D6D" w:rsidRDefault="00A61D6D">
    <w:pPr>
      <w:pStyle w:val="Peu"/>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D6D" w:rsidRDefault="00A61D6D" w:rsidP="00A61D6D">
      <w:r>
        <w:separator/>
      </w:r>
    </w:p>
  </w:footnote>
  <w:footnote w:type="continuationSeparator" w:id="0">
    <w:p w:rsidR="00A61D6D" w:rsidRDefault="00A61D6D" w:rsidP="00A61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882" w:rsidRPr="00587882" w:rsidRDefault="00587882" w:rsidP="00587882">
    <w:pPr>
      <w:autoSpaceDE w:val="0"/>
      <w:autoSpaceDN w:val="0"/>
      <w:jc w:val="both"/>
      <w:rPr>
        <w:rFonts w:ascii="Calibri" w:hAnsi="Calibri"/>
        <w:b/>
        <w:bCs/>
        <w:color w:val="0080C1"/>
        <w:sz w:val="16"/>
        <w:szCs w:val="16"/>
      </w:rPr>
    </w:pPr>
    <w:r w:rsidRPr="00587882">
      <w:rPr>
        <w:rFonts w:ascii="Calibri" w:hAnsi="Calibri"/>
        <w:b/>
        <w:bCs/>
        <w:color w:val="0080C1"/>
        <w:sz w:val="16"/>
        <w:szCs w:val="16"/>
      </w:rPr>
      <w:t>Pla de prevenció d'incendis forestals</w:t>
    </w:r>
  </w:p>
  <w:p w:rsidR="00587882" w:rsidRPr="00587882" w:rsidRDefault="00587882" w:rsidP="00587882">
    <w:pPr>
      <w:jc w:val="both"/>
      <w:rPr>
        <w:rFonts w:ascii="Calibri" w:hAnsi="Calibri"/>
        <w:sz w:val="22"/>
        <w:szCs w:val="22"/>
      </w:rPr>
    </w:pPr>
    <w:r w:rsidRPr="00587882">
      <w:rPr>
        <w:rFonts w:ascii="Calibri" w:hAnsi="Calibri"/>
        <w:b/>
        <w:bCs/>
        <w:color w:val="0080C1"/>
        <w:sz w:val="16"/>
        <w:szCs w:val="16"/>
      </w:rPr>
      <w:t>a les urbanitzacions i nuclis de població</w:t>
    </w:r>
  </w:p>
  <w:p w:rsidR="00587882" w:rsidRDefault="00587882">
    <w:pPr>
      <w:pStyle w:val="Capaler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1739C"/>
    <w:multiLevelType w:val="multilevel"/>
    <w:tmpl w:val="DB526DE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nsid w:val="34C2303A"/>
    <w:multiLevelType w:val="multilevel"/>
    <w:tmpl w:val="C0FC06B0"/>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42E803B0"/>
    <w:multiLevelType w:val="multilevel"/>
    <w:tmpl w:val="2DD4AE2C"/>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47A95A40"/>
    <w:multiLevelType w:val="multilevel"/>
    <w:tmpl w:val="CD6A0B16"/>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nsid w:val="53A8174F"/>
    <w:multiLevelType w:val="hybridMultilevel"/>
    <w:tmpl w:val="64AE03EE"/>
    <w:lvl w:ilvl="0" w:tplc="46E89EDE">
      <w:start w:val="1"/>
      <w:numFmt w:val="bullet"/>
      <w:lvlText w:val="-"/>
      <w:lvlJc w:val="left"/>
      <w:pPr>
        <w:tabs>
          <w:tab w:val="num" w:pos="360"/>
        </w:tabs>
        <w:ind w:left="360" w:hanging="360"/>
      </w:pPr>
      <w:rPr>
        <w:rFonts w:ascii="Century Gothic" w:hAnsi="Century Gothic" w:hint="default"/>
        <w:color w:val="auto"/>
      </w:rPr>
    </w:lvl>
    <w:lvl w:ilvl="1" w:tplc="0C0A000F">
      <w:start w:val="1"/>
      <w:numFmt w:val="decimal"/>
      <w:lvlText w:val="%2."/>
      <w:lvlJc w:val="left"/>
      <w:pPr>
        <w:tabs>
          <w:tab w:val="num" w:pos="1080"/>
        </w:tabs>
        <w:ind w:left="1080" w:hanging="360"/>
      </w:pPr>
      <w:rPr>
        <w:rFonts w:hint="default"/>
        <w:color w:val="auto"/>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cs="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cs="Wingdings" w:hint="default"/>
      </w:rPr>
    </w:lvl>
    <w:lvl w:ilvl="6" w:tplc="0C0A0001" w:tentative="1">
      <w:start w:val="1"/>
      <w:numFmt w:val="bullet"/>
      <w:lvlText w:val=""/>
      <w:lvlJc w:val="left"/>
      <w:pPr>
        <w:tabs>
          <w:tab w:val="num" w:pos="4680"/>
        </w:tabs>
        <w:ind w:left="4680" w:hanging="360"/>
      </w:pPr>
      <w:rPr>
        <w:rFonts w:ascii="Symbol" w:hAnsi="Symbol" w:cs="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cs="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hyphenationZone w:val="425"/>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0374"/>
    <w:rsid w:val="00143F19"/>
    <w:rsid w:val="001A7CC8"/>
    <w:rsid w:val="0021087A"/>
    <w:rsid w:val="00587882"/>
    <w:rsid w:val="008F436C"/>
    <w:rsid w:val="009752EA"/>
    <w:rsid w:val="00A61D6D"/>
    <w:rsid w:val="00BA368C"/>
    <w:rsid w:val="00E10C38"/>
    <w:rsid w:val="00E22EFF"/>
    <w:rsid w:val="00E6162D"/>
    <w:rsid w:val="00E90374"/>
    <w:rsid w:val="00F05C0E"/>
    <w:rsid w:val="00F30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374"/>
    <w:rPr>
      <w:rFonts w:ascii="Times New Roman" w:eastAsia="Times New Roman" w:hAnsi="Times New Roman"/>
      <w:sz w:val="24"/>
      <w:szCs w:val="24"/>
      <w:lang w:eastAsia="es-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Car1CarCarCarCarCarCarCarCar">
    <w:name w:val="Car1 Car Car Car Car Car Car Car Car"/>
    <w:basedOn w:val="Normal"/>
    <w:uiPriority w:val="99"/>
    <w:rsid w:val="00E90374"/>
    <w:pPr>
      <w:spacing w:after="160" w:line="240" w:lineRule="exact"/>
    </w:pPr>
    <w:rPr>
      <w:rFonts w:ascii="Verdana" w:hAnsi="Verdana" w:cs="Verdana"/>
      <w:sz w:val="20"/>
      <w:szCs w:val="20"/>
      <w:lang w:val="en-US" w:eastAsia="en-US"/>
    </w:rPr>
  </w:style>
  <w:style w:type="paragraph" w:customStyle="1" w:styleId="Aclariment">
    <w:name w:val="Aclariment"/>
    <w:basedOn w:val="Normal"/>
    <w:uiPriority w:val="99"/>
    <w:rsid w:val="00E90374"/>
    <w:pPr>
      <w:pBdr>
        <w:top w:val="single" w:sz="4" w:space="1" w:color="auto"/>
        <w:left w:val="single" w:sz="4" w:space="4" w:color="auto"/>
        <w:bottom w:val="single" w:sz="4" w:space="1" w:color="auto"/>
        <w:right w:val="single" w:sz="4" w:space="4" w:color="auto"/>
      </w:pBdr>
      <w:shd w:val="pct75" w:color="FFFFFF" w:fill="FFFF00"/>
      <w:ind w:left="567" w:right="567"/>
      <w:jc w:val="both"/>
    </w:pPr>
    <w:rPr>
      <w:rFonts w:ascii="Comic Sans MS" w:hAnsi="Comic Sans MS" w:cs="Comic Sans MS"/>
      <w:sz w:val="16"/>
      <w:szCs w:val="16"/>
      <w:lang w:val="es-ES_tradnl"/>
    </w:rPr>
  </w:style>
  <w:style w:type="paragraph" w:styleId="Pargrafdellista">
    <w:name w:val="List Paragraph"/>
    <w:basedOn w:val="Normal"/>
    <w:uiPriority w:val="99"/>
    <w:qFormat/>
    <w:rsid w:val="00E90374"/>
    <w:pPr>
      <w:ind w:left="720"/>
      <w:contextualSpacing/>
    </w:pPr>
  </w:style>
  <w:style w:type="paragraph" w:styleId="Capalera">
    <w:name w:val="header"/>
    <w:basedOn w:val="Normal"/>
    <w:link w:val="CapaleraCar"/>
    <w:uiPriority w:val="99"/>
    <w:unhideWhenUsed/>
    <w:rsid w:val="00A61D6D"/>
    <w:pPr>
      <w:tabs>
        <w:tab w:val="center" w:pos="4252"/>
        <w:tab w:val="right" w:pos="8504"/>
      </w:tabs>
    </w:pPr>
  </w:style>
  <w:style w:type="character" w:customStyle="1" w:styleId="CapaleraCar">
    <w:name w:val="Capçalera Car"/>
    <w:link w:val="Capalera"/>
    <w:uiPriority w:val="99"/>
    <w:rsid w:val="00A61D6D"/>
    <w:rPr>
      <w:rFonts w:ascii="Times New Roman" w:eastAsia="Times New Roman" w:hAnsi="Times New Roman"/>
      <w:sz w:val="24"/>
      <w:szCs w:val="24"/>
      <w:lang w:val="ca-ES" w:eastAsia="es-ES"/>
    </w:rPr>
  </w:style>
  <w:style w:type="paragraph" w:styleId="Peu">
    <w:name w:val="footer"/>
    <w:basedOn w:val="Normal"/>
    <w:link w:val="PeuCar"/>
    <w:uiPriority w:val="99"/>
    <w:unhideWhenUsed/>
    <w:rsid w:val="00A61D6D"/>
    <w:pPr>
      <w:tabs>
        <w:tab w:val="center" w:pos="4252"/>
        <w:tab w:val="right" w:pos="8504"/>
      </w:tabs>
    </w:pPr>
  </w:style>
  <w:style w:type="character" w:customStyle="1" w:styleId="PeuCar">
    <w:name w:val="Peu Car"/>
    <w:link w:val="Peu"/>
    <w:uiPriority w:val="99"/>
    <w:rsid w:val="00A61D6D"/>
    <w:rPr>
      <w:rFonts w:ascii="Times New Roman" w:eastAsia="Times New Roman" w:hAnsi="Times New Roman"/>
      <w:sz w:val="24"/>
      <w:szCs w:val="24"/>
      <w:lang w:val="ca-ES" w:eastAsia="es-ES"/>
    </w:rPr>
  </w:style>
  <w:style w:type="paragraph" w:styleId="Senseespaiat">
    <w:name w:val="No Spacing"/>
    <w:link w:val="SenseespaiatCar"/>
    <w:uiPriority w:val="99"/>
    <w:qFormat/>
    <w:rsid w:val="00A61D6D"/>
    <w:rPr>
      <w:rFonts w:eastAsia="Times New Roman" w:cs="Calibri"/>
      <w:sz w:val="22"/>
      <w:szCs w:val="22"/>
    </w:rPr>
  </w:style>
  <w:style w:type="character" w:customStyle="1" w:styleId="SenseespaiatCar">
    <w:name w:val="Sense espaiat Car"/>
    <w:link w:val="Senseespaiat"/>
    <w:uiPriority w:val="99"/>
    <w:rsid w:val="00A61D6D"/>
    <w:rPr>
      <w:rFonts w:eastAsia="Times New Roman" w:cs="Calibri"/>
      <w:lang w:val="ca-ES" w:eastAsia="ca-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a-ES" w:eastAsia="ca-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30242-37E1-4777-8F97-D4D2B4224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510</Words>
  <Characters>2913</Characters>
  <Application>Microsoft Office Word</Application>
  <DocSecurity>0</DocSecurity>
  <Lines>24</Lines>
  <Paragraphs>6</Paragraphs>
  <ScaleCrop>false</ScaleCrop>
  <Company>Diputació de Barcelona</Company>
  <LinksUpToDate>false</LinksUpToDate>
  <CharactersWithSpaces>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navalonnx</dc:creator>
  <cp:keywords/>
  <dc:description/>
  <cp:lastModifiedBy>tarradasml</cp:lastModifiedBy>
  <cp:revision>9</cp:revision>
  <dcterms:created xsi:type="dcterms:W3CDTF">2015-12-23T09:06:00Z</dcterms:created>
  <dcterms:modified xsi:type="dcterms:W3CDTF">2018-11-12T13:30:00Z</dcterms:modified>
</cp:coreProperties>
</file>